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3363"/>
        <w:gridCol w:w="5565"/>
      </w:tblGrid>
      <w:tr w:rsidR="0000769F" w:rsidRPr="0000769F" w:rsidTr="0000769F">
        <w:trPr>
          <w:trHeight w:val="288"/>
        </w:trPr>
        <w:tc>
          <w:tcPr>
            <w:tcW w:w="3363" w:type="dxa"/>
            <w:tcMar>
              <w:top w:w="0" w:type="dxa"/>
              <w:left w:w="108" w:type="dxa"/>
              <w:bottom w:w="0" w:type="dxa"/>
              <w:right w:w="108" w:type="dxa"/>
            </w:tcMar>
            <w:hideMark/>
          </w:tcPr>
          <w:p w:rsidR="0000769F" w:rsidRPr="0000769F" w:rsidRDefault="0000769F" w:rsidP="0000769F">
            <w:pPr>
              <w:spacing w:before="120" w:after="100" w:afterAutospacing="1" w:line="240" w:lineRule="auto"/>
              <w:jc w:val="center"/>
              <w:rPr>
                <w:rFonts w:eastAsia="Times New Roman" w:cs="Times New Roman"/>
                <w:szCs w:val="24"/>
                <w:lang w:eastAsia="vi-VN"/>
              </w:rPr>
            </w:pPr>
            <w:r w:rsidRPr="0000769F">
              <w:rPr>
                <w:rFonts w:eastAsia="Times New Roman" w:cs="Times New Roman"/>
                <w:szCs w:val="24"/>
                <w:lang w:eastAsia="vi-VN"/>
              </w:rPr>
              <w:t>BỘ TÀI CHÍNH</w:t>
            </w:r>
            <w:r w:rsidRPr="0000769F">
              <w:rPr>
                <w:rFonts w:eastAsia="Times New Roman" w:cs="Times New Roman"/>
                <w:szCs w:val="24"/>
                <w:lang w:eastAsia="vi-VN"/>
              </w:rPr>
              <w:br/>
            </w:r>
            <w:r w:rsidRPr="0000769F">
              <w:rPr>
                <w:rFonts w:eastAsia="Times New Roman" w:cs="Times New Roman"/>
                <w:b/>
                <w:bCs/>
                <w:szCs w:val="24"/>
                <w:lang w:eastAsia="vi-VN"/>
              </w:rPr>
              <w:t>TỔNG CỤC HẢI QUAN</w:t>
            </w:r>
            <w:r w:rsidRPr="0000769F">
              <w:rPr>
                <w:rFonts w:eastAsia="Times New Roman" w:cs="Times New Roman"/>
                <w:b/>
                <w:bCs/>
                <w:szCs w:val="24"/>
                <w:lang w:eastAsia="vi-VN"/>
              </w:rPr>
              <w:br/>
              <w:t>-------</w:t>
            </w:r>
          </w:p>
        </w:tc>
        <w:tc>
          <w:tcPr>
            <w:tcW w:w="5565" w:type="dxa"/>
            <w:tcMar>
              <w:top w:w="0" w:type="dxa"/>
              <w:left w:w="108" w:type="dxa"/>
              <w:bottom w:w="0" w:type="dxa"/>
              <w:right w:w="108" w:type="dxa"/>
            </w:tcMar>
            <w:hideMark/>
          </w:tcPr>
          <w:p w:rsidR="0000769F" w:rsidRPr="0000769F" w:rsidRDefault="0000769F" w:rsidP="0000769F">
            <w:pPr>
              <w:spacing w:before="120" w:after="100" w:afterAutospacing="1" w:line="240" w:lineRule="auto"/>
              <w:jc w:val="center"/>
              <w:rPr>
                <w:rFonts w:eastAsia="Times New Roman" w:cs="Times New Roman"/>
                <w:szCs w:val="24"/>
                <w:lang w:eastAsia="vi-VN"/>
              </w:rPr>
            </w:pPr>
            <w:r w:rsidRPr="0000769F">
              <w:rPr>
                <w:rFonts w:eastAsia="Times New Roman" w:cs="Times New Roman"/>
                <w:b/>
                <w:bCs/>
                <w:szCs w:val="24"/>
                <w:lang w:eastAsia="vi-VN"/>
              </w:rPr>
              <w:t>CỘNG HÒA XÃ HỘI CHỦ NGHĨA VIỆT NAM</w:t>
            </w:r>
            <w:r w:rsidRPr="0000769F">
              <w:rPr>
                <w:rFonts w:eastAsia="Times New Roman" w:cs="Times New Roman"/>
                <w:b/>
                <w:bCs/>
                <w:szCs w:val="24"/>
                <w:lang w:eastAsia="vi-VN"/>
              </w:rPr>
              <w:br/>
              <w:t xml:space="preserve">Độc lập - Tự do - Hạnh phúc </w:t>
            </w:r>
            <w:r w:rsidRPr="0000769F">
              <w:rPr>
                <w:rFonts w:eastAsia="Times New Roman" w:cs="Times New Roman"/>
                <w:b/>
                <w:bCs/>
                <w:szCs w:val="24"/>
                <w:lang w:eastAsia="vi-VN"/>
              </w:rPr>
              <w:br/>
              <w:t>---------------</w:t>
            </w:r>
          </w:p>
        </w:tc>
      </w:tr>
      <w:tr w:rsidR="0000769F" w:rsidRPr="0000769F" w:rsidTr="0000769F">
        <w:trPr>
          <w:trHeight w:val="256"/>
        </w:trPr>
        <w:tc>
          <w:tcPr>
            <w:tcW w:w="3363" w:type="dxa"/>
            <w:tcMar>
              <w:top w:w="0" w:type="dxa"/>
              <w:left w:w="108" w:type="dxa"/>
              <w:bottom w:w="0" w:type="dxa"/>
              <w:right w:w="108" w:type="dxa"/>
            </w:tcMar>
            <w:hideMark/>
          </w:tcPr>
          <w:p w:rsidR="0000769F" w:rsidRPr="0000769F" w:rsidRDefault="0000769F" w:rsidP="0000769F">
            <w:pPr>
              <w:spacing w:before="120" w:after="100" w:afterAutospacing="1" w:line="240" w:lineRule="auto"/>
              <w:rPr>
                <w:rFonts w:eastAsia="Times New Roman" w:cs="Times New Roman"/>
                <w:szCs w:val="24"/>
                <w:lang w:eastAsia="vi-VN"/>
              </w:rPr>
            </w:pPr>
            <w:bookmarkStart w:id="0" w:name="_GoBack"/>
            <w:r w:rsidRPr="0000769F">
              <w:rPr>
                <w:rFonts w:eastAsia="Times New Roman" w:cs="Times New Roman"/>
                <w:szCs w:val="24"/>
                <w:lang w:eastAsia="vi-VN"/>
              </w:rPr>
              <w:t>Số: 1119/TCHQ-GSQL</w:t>
            </w:r>
            <w:bookmarkEnd w:id="0"/>
            <w:r w:rsidRPr="0000769F">
              <w:rPr>
                <w:rFonts w:eastAsia="Times New Roman" w:cs="Times New Roman"/>
                <w:szCs w:val="24"/>
                <w:lang w:eastAsia="vi-VN"/>
              </w:rPr>
              <w:br/>
            </w:r>
            <w:r w:rsidRPr="0000769F">
              <w:rPr>
                <w:rFonts w:eastAsia="Times New Roman" w:cs="Times New Roman"/>
                <w:i/>
                <w:iCs/>
                <w:sz w:val="16"/>
                <w:szCs w:val="16"/>
                <w:lang w:eastAsia="vi-VN"/>
              </w:rPr>
              <w:t>V/v chuyển máy móc, thiết bị và nguyên liệu sang trụ sở mới của DNCX</w:t>
            </w:r>
          </w:p>
        </w:tc>
        <w:tc>
          <w:tcPr>
            <w:tcW w:w="5565" w:type="dxa"/>
            <w:tcMar>
              <w:top w:w="0" w:type="dxa"/>
              <w:left w:w="108" w:type="dxa"/>
              <w:bottom w:w="0" w:type="dxa"/>
              <w:right w:w="108" w:type="dxa"/>
            </w:tcMar>
            <w:hideMark/>
          </w:tcPr>
          <w:p w:rsidR="0000769F" w:rsidRPr="0000769F" w:rsidRDefault="0000769F" w:rsidP="0000769F">
            <w:pPr>
              <w:spacing w:before="120" w:after="100" w:afterAutospacing="1" w:line="240" w:lineRule="auto"/>
              <w:jc w:val="right"/>
              <w:rPr>
                <w:rFonts w:eastAsia="Times New Roman" w:cs="Times New Roman"/>
                <w:szCs w:val="24"/>
                <w:lang w:eastAsia="vi-VN"/>
              </w:rPr>
            </w:pPr>
            <w:r w:rsidRPr="0000769F">
              <w:rPr>
                <w:rFonts w:eastAsia="Times New Roman" w:cs="Times New Roman"/>
                <w:i/>
                <w:iCs/>
                <w:szCs w:val="24"/>
                <w:lang w:eastAsia="vi-VN"/>
              </w:rPr>
              <w:t>Hà Nội, ngày 05 tháng 03 năm 2013</w:t>
            </w:r>
          </w:p>
        </w:tc>
      </w:tr>
    </w:tbl>
    <w:p w:rsidR="0000769F" w:rsidRPr="0000769F" w:rsidRDefault="0000769F" w:rsidP="0000769F">
      <w:pPr>
        <w:spacing w:before="120" w:after="100" w:afterAutospacing="1" w:line="240" w:lineRule="auto"/>
        <w:rPr>
          <w:rFonts w:eastAsia="Times New Roman" w:cs="Times New Roman"/>
          <w:szCs w:val="24"/>
          <w:lang w:eastAsia="vi-VN"/>
        </w:rPr>
      </w:pPr>
      <w:r w:rsidRPr="0000769F">
        <w:rPr>
          <w:rFonts w:eastAsia="Times New Roman" w:cs="Times New Roman"/>
          <w:szCs w:val="24"/>
          <w:lang w:eastAsia="vi-VN"/>
        </w:rPr>
        <w:t> </w:t>
      </w:r>
    </w:p>
    <w:tbl>
      <w:tblPr>
        <w:tblW w:w="0" w:type="auto"/>
        <w:tblCellMar>
          <w:left w:w="0" w:type="dxa"/>
          <w:right w:w="0" w:type="dxa"/>
        </w:tblCellMar>
        <w:tblLook w:val="04A0" w:firstRow="1" w:lastRow="0" w:firstColumn="1" w:lastColumn="0" w:noHBand="0" w:noVBand="1"/>
      </w:tblPr>
      <w:tblGrid>
        <w:gridCol w:w="2808"/>
        <w:gridCol w:w="6120"/>
      </w:tblGrid>
      <w:tr w:rsidR="0000769F" w:rsidRPr="0000769F" w:rsidTr="0000769F">
        <w:tc>
          <w:tcPr>
            <w:tcW w:w="2808" w:type="dxa"/>
            <w:tcMar>
              <w:top w:w="0" w:type="dxa"/>
              <w:left w:w="108" w:type="dxa"/>
              <w:bottom w:w="0" w:type="dxa"/>
              <w:right w:w="108" w:type="dxa"/>
            </w:tcMar>
            <w:hideMark/>
          </w:tcPr>
          <w:p w:rsidR="0000769F" w:rsidRPr="0000769F" w:rsidRDefault="0000769F" w:rsidP="0000769F">
            <w:pPr>
              <w:spacing w:before="120" w:after="100" w:afterAutospacing="1" w:line="240" w:lineRule="auto"/>
              <w:jc w:val="right"/>
              <w:rPr>
                <w:rFonts w:eastAsia="Times New Roman" w:cs="Times New Roman"/>
                <w:szCs w:val="24"/>
                <w:lang w:eastAsia="vi-VN"/>
              </w:rPr>
            </w:pPr>
            <w:r w:rsidRPr="0000769F">
              <w:rPr>
                <w:rFonts w:eastAsia="Times New Roman" w:cs="Times New Roman"/>
                <w:b/>
                <w:bCs/>
                <w:szCs w:val="24"/>
                <w:lang w:eastAsia="vi-VN"/>
              </w:rPr>
              <w:t>Kính gửi:</w:t>
            </w:r>
          </w:p>
        </w:tc>
        <w:tc>
          <w:tcPr>
            <w:tcW w:w="6120" w:type="dxa"/>
            <w:tcMar>
              <w:top w:w="0" w:type="dxa"/>
              <w:left w:w="108" w:type="dxa"/>
              <w:bottom w:w="0" w:type="dxa"/>
              <w:right w:w="108" w:type="dxa"/>
            </w:tcMar>
            <w:hideMark/>
          </w:tcPr>
          <w:p w:rsidR="0000769F" w:rsidRPr="0000769F" w:rsidRDefault="0000769F" w:rsidP="0000769F">
            <w:pPr>
              <w:spacing w:before="120" w:after="100" w:afterAutospacing="1" w:line="240" w:lineRule="auto"/>
              <w:rPr>
                <w:rFonts w:eastAsia="Times New Roman" w:cs="Times New Roman"/>
                <w:szCs w:val="24"/>
                <w:lang w:eastAsia="vi-VN"/>
              </w:rPr>
            </w:pPr>
            <w:r w:rsidRPr="0000769F">
              <w:rPr>
                <w:rFonts w:eastAsia="Times New Roman" w:cs="Times New Roman"/>
                <w:szCs w:val="24"/>
                <w:lang w:eastAsia="vi-VN"/>
              </w:rPr>
              <w:t>- Cục Hải quan Tp Hồ Chí Minh;</w:t>
            </w:r>
            <w:r w:rsidRPr="0000769F">
              <w:rPr>
                <w:rFonts w:eastAsia="Times New Roman" w:cs="Times New Roman"/>
                <w:szCs w:val="24"/>
                <w:lang w:eastAsia="vi-VN"/>
              </w:rPr>
              <w:br/>
              <w:t>- Cục Hải quan tỉnh Long An;</w:t>
            </w:r>
            <w:r w:rsidRPr="0000769F">
              <w:rPr>
                <w:rFonts w:eastAsia="Times New Roman" w:cs="Times New Roman"/>
                <w:szCs w:val="24"/>
                <w:lang w:eastAsia="vi-VN"/>
              </w:rPr>
              <w:br/>
              <w:t>- Công ty TNHH Tazmo Việt Nam</w:t>
            </w:r>
            <w:r w:rsidRPr="0000769F">
              <w:rPr>
                <w:rFonts w:eastAsia="Times New Roman" w:cs="Times New Roman"/>
                <w:szCs w:val="24"/>
                <w:lang w:eastAsia="vi-VN"/>
              </w:rPr>
              <w:br/>
              <w:t>(Địa chỉ: Đường số 12, KCX Tân Thuận, quận 7, Tp Hồ Chí Minh)</w:t>
            </w:r>
          </w:p>
        </w:tc>
      </w:tr>
    </w:tbl>
    <w:p w:rsidR="0000769F" w:rsidRPr="0000769F" w:rsidRDefault="0000769F" w:rsidP="0000769F">
      <w:pPr>
        <w:spacing w:before="120" w:after="100" w:afterAutospacing="1" w:line="240" w:lineRule="auto"/>
        <w:rPr>
          <w:rFonts w:eastAsia="Times New Roman" w:cs="Times New Roman"/>
          <w:szCs w:val="24"/>
          <w:lang w:eastAsia="vi-VN"/>
        </w:rPr>
      </w:pPr>
      <w:r w:rsidRPr="0000769F">
        <w:rPr>
          <w:rFonts w:eastAsia="Times New Roman" w:cs="Times New Roman"/>
          <w:szCs w:val="24"/>
          <w:lang w:eastAsia="vi-VN"/>
        </w:rPr>
        <w:t> </w:t>
      </w:r>
    </w:p>
    <w:p w:rsidR="0000769F" w:rsidRPr="0000769F" w:rsidRDefault="0000769F" w:rsidP="0000769F">
      <w:pPr>
        <w:spacing w:before="120" w:after="100" w:afterAutospacing="1" w:line="240" w:lineRule="auto"/>
        <w:rPr>
          <w:rFonts w:eastAsia="Times New Roman" w:cs="Times New Roman"/>
          <w:szCs w:val="24"/>
          <w:lang w:eastAsia="vi-VN"/>
        </w:rPr>
      </w:pPr>
      <w:r w:rsidRPr="0000769F">
        <w:rPr>
          <w:rFonts w:eastAsia="Times New Roman" w:cs="Times New Roman"/>
          <w:szCs w:val="24"/>
          <w:lang w:eastAsia="vi-VN"/>
        </w:rPr>
        <w:t>Tổng cục Hải quan nhận được công văn số 181/HQLA-NV ngày 28/01/2013 của Cục Hải quan tỉnh Long An nêu vướng mắc về việc chuyển máy móc, thiết bị và nguyên vật liệu sang trụ sở mới của doanh nghiệp chế xuất. Về việc này, Tổng cục Hải quan có ý kiến như sau:</w:t>
      </w:r>
    </w:p>
    <w:p w:rsidR="0000769F" w:rsidRPr="0000769F" w:rsidRDefault="0000769F" w:rsidP="0000769F">
      <w:pPr>
        <w:spacing w:before="120" w:after="100" w:afterAutospacing="1" w:line="240" w:lineRule="auto"/>
        <w:rPr>
          <w:rFonts w:eastAsia="Times New Roman" w:cs="Times New Roman"/>
          <w:szCs w:val="24"/>
          <w:lang w:eastAsia="vi-VN"/>
        </w:rPr>
      </w:pPr>
      <w:r w:rsidRPr="0000769F">
        <w:rPr>
          <w:rFonts w:eastAsia="Times New Roman" w:cs="Times New Roman"/>
          <w:szCs w:val="24"/>
          <w:lang w:eastAsia="vi-VN"/>
        </w:rPr>
        <w:t>1. Việc di chuyển hàng hóa của doanh nghiệp chế xuất chỉ được thực hiện khi Ban Quản lý các KCN, KCX Tp Hồ Chí Minh thu hồi giấy chứng nhận đầu tư của Công ty và Ban Quản lý các khu kinh tế Long An cấp giấy chứng nhận đầu tư mới.</w:t>
      </w:r>
    </w:p>
    <w:p w:rsidR="0000769F" w:rsidRPr="0000769F" w:rsidRDefault="0000769F" w:rsidP="0000769F">
      <w:pPr>
        <w:spacing w:before="120" w:after="100" w:afterAutospacing="1" w:line="240" w:lineRule="auto"/>
        <w:rPr>
          <w:rFonts w:eastAsia="Times New Roman" w:cs="Times New Roman"/>
          <w:szCs w:val="24"/>
          <w:lang w:eastAsia="vi-VN"/>
        </w:rPr>
      </w:pPr>
      <w:r w:rsidRPr="0000769F">
        <w:rPr>
          <w:rFonts w:eastAsia="Times New Roman" w:cs="Times New Roman"/>
          <w:szCs w:val="24"/>
          <w:lang w:eastAsia="vi-VN"/>
        </w:rPr>
        <w:t>2. Trách nhiệm của các đơn vị liên quan:</w:t>
      </w:r>
    </w:p>
    <w:p w:rsidR="0000769F" w:rsidRPr="0000769F" w:rsidRDefault="0000769F" w:rsidP="0000769F">
      <w:pPr>
        <w:spacing w:before="120" w:after="100" w:afterAutospacing="1" w:line="240" w:lineRule="auto"/>
        <w:rPr>
          <w:rFonts w:eastAsia="Times New Roman" w:cs="Times New Roman"/>
          <w:szCs w:val="24"/>
          <w:lang w:eastAsia="vi-VN"/>
        </w:rPr>
      </w:pPr>
      <w:r w:rsidRPr="0000769F">
        <w:rPr>
          <w:rFonts w:eastAsia="Times New Roman" w:cs="Times New Roman"/>
          <w:szCs w:val="24"/>
          <w:lang w:eastAsia="vi-VN"/>
        </w:rPr>
        <w:t>- Cục Hải quan Tp Hồ Chí Minh:</w:t>
      </w:r>
    </w:p>
    <w:p w:rsidR="0000769F" w:rsidRPr="0000769F" w:rsidRDefault="0000769F" w:rsidP="0000769F">
      <w:pPr>
        <w:spacing w:before="120" w:after="100" w:afterAutospacing="1" w:line="240" w:lineRule="auto"/>
        <w:rPr>
          <w:rFonts w:eastAsia="Times New Roman" w:cs="Times New Roman"/>
          <w:szCs w:val="24"/>
          <w:lang w:eastAsia="vi-VN"/>
        </w:rPr>
      </w:pPr>
      <w:r w:rsidRPr="0000769F">
        <w:rPr>
          <w:rFonts w:eastAsia="Times New Roman" w:cs="Times New Roman"/>
          <w:szCs w:val="24"/>
          <w:lang w:eastAsia="vi-VN"/>
        </w:rPr>
        <w:t>+ Thực hiện thanh khoản dứt điểm đối với nguyên, vật liệu đã đưa vào sản xuất theo từng loại hình phù hợp;</w:t>
      </w:r>
    </w:p>
    <w:p w:rsidR="0000769F" w:rsidRPr="0000769F" w:rsidRDefault="0000769F" w:rsidP="0000769F">
      <w:pPr>
        <w:spacing w:before="120" w:after="100" w:afterAutospacing="1" w:line="240" w:lineRule="auto"/>
        <w:rPr>
          <w:rFonts w:eastAsia="Times New Roman" w:cs="Times New Roman"/>
          <w:szCs w:val="24"/>
          <w:lang w:eastAsia="vi-VN"/>
        </w:rPr>
      </w:pPr>
      <w:r w:rsidRPr="0000769F">
        <w:rPr>
          <w:rFonts w:eastAsia="Times New Roman" w:cs="Times New Roman"/>
          <w:szCs w:val="24"/>
          <w:lang w:eastAsia="vi-VN"/>
        </w:rPr>
        <w:t>+ Có văn bản thông báo cho Cục Hải quan Long An biết tình hình thanh khoản nguyên vật liệu theo từng loại hình (đã thanh khoản xong, thanh khoản một phần, chưa thanh khoản);</w:t>
      </w:r>
    </w:p>
    <w:p w:rsidR="0000769F" w:rsidRPr="0000769F" w:rsidRDefault="0000769F" w:rsidP="0000769F">
      <w:pPr>
        <w:spacing w:before="120" w:after="100" w:afterAutospacing="1" w:line="240" w:lineRule="auto"/>
        <w:rPr>
          <w:rFonts w:eastAsia="Times New Roman" w:cs="Times New Roman"/>
          <w:szCs w:val="24"/>
          <w:lang w:eastAsia="vi-VN"/>
        </w:rPr>
      </w:pPr>
      <w:r w:rsidRPr="0000769F">
        <w:rPr>
          <w:rFonts w:eastAsia="Times New Roman" w:cs="Times New Roman"/>
          <w:szCs w:val="24"/>
          <w:lang w:eastAsia="vi-VN"/>
        </w:rPr>
        <w:t>+ Niêm phong phương tiện chứa hàng khi Công ty thực hiện việc di chuyển;</w:t>
      </w:r>
    </w:p>
    <w:p w:rsidR="0000769F" w:rsidRPr="0000769F" w:rsidRDefault="0000769F" w:rsidP="0000769F">
      <w:pPr>
        <w:spacing w:before="120" w:after="100" w:afterAutospacing="1" w:line="240" w:lineRule="auto"/>
        <w:rPr>
          <w:rFonts w:eastAsia="Times New Roman" w:cs="Times New Roman"/>
          <w:szCs w:val="24"/>
          <w:lang w:eastAsia="vi-VN"/>
        </w:rPr>
      </w:pPr>
      <w:r w:rsidRPr="0000769F">
        <w:rPr>
          <w:rFonts w:eastAsia="Times New Roman" w:cs="Times New Roman"/>
          <w:szCs w:val="24"/>
          <w:lang w:eastAsia="vi-VN"/>
        </w:rPr>
        <w:t>+ Lập biên bản bàn giao hàng hóa (biên bản có ký xác nhận 3 bên: Hải quan TP Hồ Chí Minh - Doanh nghiệp - Hải quan Long An).</w:t>
      </w:r>
    </w:p>
    <w:p w:rsidR="0000769F" w:rsidRPr="0000769F" w:rsidRDefault="0000769F" w:rsidP="0000769F">
      <w:pPr>
        <w:spacing w:before="120" w:after="100" w:afterAutospacing="1" w:line="240" w:lineRule="auto"/>
        <w:rPr>
          <w:rFonts w:eastAsia="Times New Roman" w:cs="Times New Roman"/>
          <w:szCs w:val="24"/>
          <w:lang w:eastAsia="vi-VN"/>
        </w:rPr>
      </w:pPr>
      <w:r w:rsidRPr="0000769F">
        <w:rPr>
          <w:rFonts w:eastAsia="Times New Roman" w:cs="Times New Roman"/>
          <w:szCs w:val="24"/>
          <w:lang w:eastAsia="vi-VN"/>
        </w:rPr>
        <w:t>- Doanh nghiệp:</w:t>
      </w:r>
    </w:p>
    <w:p w:rsidR="0000769F" w:rsidRPr="0000769F" w:rsidRDefault="0000769F" w:rsidP="0000769F">
      <w:pPr>
        <w:spacing w:before="120" w:after="100" w:afterAutospacing="1" w:line="240" w:lineRule="auto"/>
        <w:rPr>
          <w:rFonts w:eastAsia="Times New Roman" w:cs="Times New Roman"/>
          <w:szCs w:val="24"/>
          <w:lang w:eastAsia="vi-VN"/>
        </w:rPr>
      </w:pPr>
      <w:r w:rsidRPr="0000769F">
        <w:rPr>
          <w:rFonts w:eastAsia="Times New Roman" w:cs="Times New Roman"/>
          <w:szCs w:val="24"/>
          <w:lang w:eastAsia="vi-VN"/>
        </w:rPr>
        <w:t>+ Lập Danh mục thống kê toàn bộ số lượng máy móc, thiết bị, nguyên vật liệu chi tiết theo từng tờ khai nhập khẩu có xác nhận của Cục Hải quan TP Hồ Chí Minh (Chi cục Hải quan KCX Tân Thuận), báo cáo tình hình thanh khoản có xác nhận của Cục Hải quan TP Hồ Chí Minh (Chi cục Hải quan KCX Tân Thuận), đính kèm sao y toàn bộ hồ sơ liên quan gửi Chi cục Hải quan Bến Lức - Cục Hải quan Long An để theo dõi, quản lý.</w:t>
      </w:r>
    </w:p>
    <w:p w:rsidR="0000769F" w:rsidRPr="0000769F" w:rsidRDefault="0000769F" w:rsidP="0000769F">
      <w:pPr>
        <w:spacing w:before="120" w:after="100" w:afterAutospacing="1" w:line="240" w:lineRule="auto"/>
        <w:rPr>
          <w:rFonts w:eastAsia="Times New Roman" w:cs="Times New Roman"/>
          <w:szCs w:val="24"/>
          <w:lang w:eastAsia="vi-VN"/>
        </w:rPr>
      </w:pPr>
      <w:r w:rsidRPr="0000769F">
        <w:rPr>
          <w:rFonts w:eastAsia="Times New Roman" w:cs="Times New Roman"/>
          <w:szCs w:val="24"/>
          <w:lang w:eastAsia="vi-VN"/>
        </w:rPr>
        <w:t xml:space="preserve">+ Đảm bảo nguyên trạng hàng hóa trong quá trình vận chuyển cũng như vận chuyển đúng tuyến đường quy định (có biên bản xác nhận bàn giao hàng hóa vận chuyển giữa Chi cục Hải </w:t>
      </w:r>
      <w:r w:rsidRPr="0000769F">
        <w:rPr>
          <w:rFonts w:eastAsia="Times New Roman" w:cs="Times New Roman"/>
          <w:szCs w:val="24"/>
          <w:lang w:eastAsia="vi-VN"/>
        </w:rPr>
        <w:lastRenderedPageBreak/>
        <w:t>quan KCX Tân Thuận - Cục Hải quan Tp Hồ Chí Minh và Chi cục Hải quan Bến Lức - Cục Hải quan tỉnh Long An).</w:t>
      </w:r>
    </w:p>
    <w:p w:rsidR="0000769F" w:rsidRPr="0000769F" w:rsidRDefault="0000769F" w:rsidP="0000769F">
      <w:pPr>
        <w:spacing w:before="120" w:after="100" w:afterAutospacing="1" w:line="240" w:lineRule="auto"/>
        <w:rPr>
          <w:rFonts w:eastAsia="Times New Roman" w:cs="Times New Roman"/>
          <w:szCs w:val="24"/>
          <w:lang w:eastAsia="vi-VN"/>
        </w:rPr>
      </w:pPr>
      <w:r w:rsidRPr="0000769F">
        <w:rPr>
          <w:rFonts w:eastAsia="Times New Roman" w:cs="Times New Roman"/>
          <w:szCs w:val="24"/>
          <w:lang w:eastAsia="vi-VN"/>
        </w:rPr>
        <w:t>+ Bàn giao hồ sơ hải quan cho Cục Hải quan Long An theo dõi, quản lý (nếu có).</w:t>
      </w:r>
    </w:p>
    <w:p w:rsidR="0000769F" w:rsidRPr="0000769F" w:rsidRDefault="0000769F" w:rsidP="0000769F">
      <w:pPr>
        <w:spacing w:before="120" w:after="100" w:afterAutospacing="1" w:line="240" w:lineRule="auto"/>
        <w:rPr>
          <w:rFonts w:eastAsia="Times New Roman" w:cs="Times New Roman"/>
          <w:szCs w:val="24"/>
          <w:lang w:eastAsia="vi-VN"/>
        </w:rPr>
      </w:pPr>
      <w:r w:rsidRPr="0000769F">
        <w:rPr>
          <w:rFonts w:eastAsia="Times New Roman" w:cs="Times New Roman"/>
          <w:szCs w:val="24"/>
          <w:lang w:eastAsia="vi-VN"/>
        </w:rPr>
        <w:t>- Cục Hải quan Long An:</w:t>
      </w:r>
    </w:p>
    <w:p w:rsidR="0000769F" w:rsidRPr="0000769F" w:rsidRDefault="0000769F" w:rsidP="0000769F">
      <w:pPr>
        <w:spacing w:before="120" w:after="100" w:afterAutospacing="1" w:line="240" w:lineRule="auto"/>
        <w:rPr>
          <w:rFonts w:eastAsia="Times New Roman" w:cs="Times New Roman"/>
          <w:szCs w:val="24"/>
          <w:lang w:eastAsia="vi-VN"/>
        </w:rPr>
      </w:pPr>
      <w:r w:rsidRPr="0000769F">
        <w:rPr>
          <w:rFonts w:eastAsia="Times New Roman" w:cs="Times New Roman"/>
          <w:szCs w:val="24"/>
          <w:lang w:eastAsia="vi-VN"/>
        </w:rPr>
        <w:t>+ Chịu trách nhiệm kiểm tra, đối chiếu số lượng hàng hóa thực tế doanh nghiệp chuyển đến với danh mục do doanh nghiệp lập và biên bản bàn giao của Cục Hải quan Tp Hồ Chí Minh.</w:t>
      </w:r>
    </w:p>
    <w:p w:rsidR="0000769F" w:rsidRPr="0000769F" w:rsidRDefault="0000769F" w:rsidP="0000769F">
      <w:pPr>
        <w:spacing w:before="120" w:after="100" w:afterAutospacing="1" w:line="240" w:lineRule="auto"/>
        <w:rPr>
          <w:rFonts w:eastAsia="Times New Roman" w:cs="Times New Roman"/>
          <w:szCs w:val="24"/>
          <w:lang w:eastAsia="vi-VN"/>
        </w:rPr>
      </w:pPr>
      <w:r w:rsidRPr="0000769F">
        <w:rPr>
          <w:rFonts w:eastAsia="Times New Roman" w:cs="Times New Roman"/>
          <w:szCs w:val="24"/>
          <w:lang w:eastAsia="vi-VN"/>
        </w:rPr>
        <w:t>+ Theo dõi tiếp nguyên phụ liệu chưa thanh khoản (nếu có).</w:t>
      </w:r>
    </w:p>
    <w:p w:rsidR="0000769F" w:rsidRPr="0000769F" w:rsidRDefault="0000769F" w:rsidP="0000769F">
      <w:pPr>
        <w:spacing w:before="120" w:after="100" w:afterAutospacing="1" w:line="240" w:lineRule="auto"/>
        <w:rPr>
          <w:rFonts w:eastAsia="Times New Roman" w:cs="Times New Roman"/>
          <w:szCs w:val="24"/>
          <w:lang w:eastAsia="vi-VN"/>
        </w:rPr>
      </w:pPr>
      <w:r w:rsidRPr="0000769F">
        <w:rPr>
          <w:rFonts w:eastAsia="Times New Roman" w:cs="Times New Roman"/>
          <w:szCs w:val="24"/>
          <w:lang w:eastAsia="vi-VN"/>
        </w:rPr>
        <w:t>Tổng cục Hải quan hướng dẫn để các đơn vị hải quan và doanh nghiệp biết, thực hiện.</w:t>
      </w:r>
    </w:p>
    <w:p w:rsidR="0000769F" w:rsidRPr="0000769F" w:rsidRDefault="0000769F" w:rsidP="0000769F">
      <w:pPr>
        <w:spacing w:before="120" w:after="100" w:afterAutospacing="1" w:line="240" w:lineRule="auto"/>
        <w:rPr>
          <w:rFonts w:eastAsia="Times New Roman" w:cs="Times New Roman"/>
          <w:szCs w:val="24"/>
          <w:lang w:eastAsia="vi-VN"/>
        </w:rPr>
      </w:pPr>
      <w:r w:rsidRPr="0000769F">
        <w:rPr>
          <w:rFonts w:eastAsia="Times New Roman" w:cs="Times New Roman"/>
          <w:szCs w:val="24"/>
          <w:lang w:eastAsia="vi-VN"/>
        </w:rPr>
        <w:t> </w:t>
      </w:r>
    </w:p>
    <w:tbl>
      <w:tblPr>
        <w:tblW w:w="0" w:type="auto"/>
        <w:tblCellMar>
          <w:left w:w="0" w:type="dxa"/>
          <w:right w:w="0" w:type="dxa"/>
        </w:tblCellMar>
        <w:tblLook w:val="04A0" w:firstRow="1" w:lastRow="0" w:firstColumn="1" w:lastColumn="0" w:noHBand="0" w:noVBand="1"/>
      </w:tblPr>
      <w:tblGrid>
        <w:gridCol w:w="4428"/>
        <w:gridCol w:w="4500"/>
      </w:tblGrid>
      <w:tr w:rsidR="0000769F" w:rsidRPr="0000769F" w:rsidTr="0000769F">
        <w:tc>
          <w:tcPr>
            <w:tcW w:w="4428" w:type="dxa"/>
            <w:tcMar>
              <w:top w:w="0" w:type="dxa"/>
              <w:left w:w="108" w:type="dxa"/>
              <w:bottom w:w="0" w:type="dxa"/>
              <w:right w:w="108" w:type="dxa"/>
            </w:tcMar>
            <w:hideMark/>
          </w:tcPr>
          <w:p w:rsidR="0000769F" w:rsidRPr="0000769F" w:rsidRDefault="0000769F" w:rsidP="0000769F">
            <w:pPr>
              <w:spacing w:before="120" w:after="100" w:afterAutospacing="1" w:line="240" w:lineRule="auto"/>
              <w:rPr>
                <w:rFonts w:eastAsia="Times New Roman" w:cs="Times New Roman"/>
                <w:szCs w:val="24"/>
                <w:lang w:eastAsia="vi-VN"/>
              </w:rPr>
            </w:pPr>
            <w:r w:rsidRPr="0000769F">
              <w:rPr>
                <w:rFonts w:eastAsia="Times New Roman" w:cs="Times New Roman"/>
                <w:b/>
                <w:bCs/>
                <w:i/>
                <w:iCs/>
                <w:szCs w:val="24"/>
                <w:lang w:eastAsia="vi-VN"/>
              </w:rPr>
              <w:t> </w:t>
            </w:r>
          </w:p>
          <w:p w:rsidR="0000769F" w:rsidRPr="0000769F" w:rsidRDefault="0000769F" w:rsidP="0000769F">
            <w:pPr>
              <w:spacing w:before="120" w:after="100" w:afterAutospacing="1" w:line="240" w:lineRule="auto"/>
              <w:rPr>
                <w:rFonts w:eastAsia="Times New Roman" w:cs="Times New Roman"/>
                <w:szCs w:val="24"/>
                <w:lang w:eastAsia="vi-VN"/>
              </w:rPr>
            </w:pPr>
            <w:r w:rsidRPr="0000769F">
              <w:rPr>
                <w:rFonts w:eastAsia="Times New Roman" w:cs="Times New Roman"/>
                <w:b/>
                <w:bCs/>
                <w:i/>
                <w:iCs/>
                <w:szCs w:val="24"/>
                <w:lang w:eastAsia="vi-VN"/>
              </w:rPr>
              <w:t>Nơi nhận:</w:t>
            </w:r>
            <w:r w:rsidRPr="0000769F">
              <w:rPr>
                <w:rFonts w:eastAsia="Times New Roman" w:cs="Times New Roman"/>
                <w:b/>
                <w:bCs/>
                <w:i/>
                <w:iCs/>
                <w:szCs w:val="24"/>
                <w:lang w:eastAsia="vi-VN"/>
              </w:rPr>
              <w:br/>
            </w:r>
            <w:r w:rsidRPr="0000769F">
              <w:rPr>
                <w:rFonts w:eastAsia="Times New Roman" w:cs="Times New Roman"/>
                <w:sz w:val="16"/>
                <w:szCs w:val="16"/>
                <w:lang w:eastAsia="vi-VN"/>
              </w:rPr>
              <w:t>- Như trên;</w:t>
            </w:r>
            <w:r w:rsidRPr="0000769F">
              <w:rPr>
                <w:rFonts w:eastAsia="Times New Roman" w:cs="Times New Roman"/>
                <w:sz w:val="16"/>
                <w:szCs w:val="16"/>
                <w:lang w:eastAsia="vi-VN"/>
              </w:rPr>
              <w:br/>
              <w:t>- Lưu: VT, GSQL (GQ2, 3b).</w:t>
            </w:r>
          </w:p>
        </w:tc>
        <w:tc>
          <w:tcPr>
            <w:tcW w:w="4500" w:type="dxa"/>
            <w:tcMar>
              <w:top w:w="0" w:type="dxa"/>
              <w:left w:w="108" w:type="dxa"/>
              <w:bottom w:w="0" w:type="dxa"/>
              <w:right w:w="108" w:type="dxa"/>
            </w:tcMar>
            <w:hideMark/>
          </w:tcPr>
          <w:p w:rsidR="0000769F" w:rsidRPr="0000769F" w:rsidRDefault="0000769F" w:rsidP="0000769F">
            <w:pPr>
              <w:spacing w:before="120" w:after="100" w:afterAutospacing="1" w:line="240" w:lineRule="auto"/>
              <w:jc w:val="center"/>
              <w:rPr>
                <w:rFonts w:eastAsia="Times New Roman" w:cs="Times New Roman"/>
                <w:szCs w:val="24"/>
                <w:lang w:eastAsia="vi-VN"/>
              </w:rPr>
            </w:pPr>
            <w:r w:rsidRPr="0000769F">
              <w:rPr>
                <w:rFonts w:eastAsia="Times New Roman" w:cs="Times New Roman"/>
                <w:b/>
                <w:bCs/>
                <w:szCs w:val="24"/>
                <w:lang w:eastAsia="vi-VN"/>
              </w:rPr>
              <w:t>KT. TỔNG CỤC TRƯỞNG</w:t>
            </w:r>
            <w:r w:rsidRPr="0000769F">
              <w:rPr>
                <w:rFonts w:eastAsia="Times New Roman" w:cs="Times New Roman"/>
                <w:b/>
                <w:bCs/>
                <w:szCs w:val="24"/>
                <w:lang w:eastAsia="vi-VN"/>
              </w:rPr>
              <w:br/>
              <w:t>PHÓ TỔNG CỤC TRƯỞNG</w:t>
            </w:r>
            <w:r w:rsidRPr="0000769F">
              <w:rPr>
                <w:rFonts w:eastAsia="Times New Roman" w:cs="Times New Roman"/>
                <w:b/>
                <w:bCs/>
                <w:szCs w:val="24"/>
                <w:lang w:eastAsia="vi-VN"/>
              </w:rPr>
              <w:br/>
            </w:r>
            <w:r w:rsidRPr="0000769F">
              <w:rPr>
                <w:rFonts w:eastAsia="Times New Roman" w:cs="Times New Roman"/>
                <w:b/>
                <w:bCs/>
                <w:szCs w:val="24"/>
                <w:lang w:eastAsia="vi-VN"/>
              </w:rPr>
              <w:br/>
            </w:r>
            <w:r w:rsidRPr="0000769F">
              <w:rPr>
                <w:rFonts w:eastAsia="Times New Roman" w:cs="Times New Roman"/>
                <w:b/>
                <w:bCs/>
                <w:szCs w:val="24"/>
                <w:lang w:eastAsia="vi-VN"/>
              </w:rPr>
              <w:br/>
            </w:r>
            <w:r w:rsidRPr="0000769F">
              <w:rPr>
                <w:rFonts w:eastAsia="Times New Roman" w:cs="Times New Roman"/>
                <w:b/>
                <w:bCs/>
                <w:szCs w:val="24"/>
                <w:lang w:eastAsia="vi-VN"/>
              </w:rPr>
              <w:br/>
            </w:r>
            <w:r w:rsidRPr="0000769F">
              <w:rPr>
                <w:rFonts w:eastAsia="Times New Roman" w:cs="Times New Roman"/>
                <w:b/>
                <w:bCs/>
                <w:szCs w:val="24"/>
                <w:lang w:eastAsia="vi-VN"/>
              </w:rPr>
              <w:br/>
              <w:t>Vũ Ngọc Anh</w:t>
            </w:r>
          </w:p>
        </w:tc>
      </w:tr>
    </w:tbl>
    <w:p w:rsidR="001D6BBD" w:rsidRDefault="001D6BBD"/>
    <w:sectPr w:rsidR="001D6BB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69F"/>
    <w:rsid w:val="0000769F"/>
    <w:rsid w:val="001D6BB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769F"/>
    <w:pPr>
      <w:spacing w:before="100" w:beforeAutospacing="1" w:after="100" w:afterAutospacing="1" w:line="240" w:lineRule="auto"/>
    </w:pPr>
    <w:rPr>
      <w:rFonts w:eastAsia="Times New Roman" w:cs="Times New Roman"/>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769F"/>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19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mrtom</dc:creator>
  <cp:lastModifiedBy>mrtom</cp:lastModifiedBy>
  <cp:revision>1</cp:revision>
  <dcterms:created xsi:type="dcterms:W3CDTF">2013-03-11T03:50:00Z</dcterms:created>
  <dcterms:modified xsi:type="dcterms:W3CDTF">2013-03-11T03:50:00Z</dcterms:modified>
</cp:coreProperties>
</file>